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82" w:rsidRPr="00CE3282" w:rsidRDefault="00CE3282" w:rsidP="00CE3282">
      <w:pPr>
        <w:shd w:val="clear" w:color="auto" w:fill="FFFFFF"/>
        <w:spacing w:after="15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E3282">
        <w:rPr>
          <w:rFonts w:eastAsia="Times New Roman" w:cs="Times New Roman"/>
          <w:b/>
          <w:bCs/>
          <w:sz w:val="32"/>
          <w:szCs w:val="32"/>
          <w:lang w:eastAsia="ru-RU"/>
        </w:rPr>
        <w:t>Методы, приемы, технологии формирования ключевых компетенций учащихся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>Оценка образовательных результатов обучающихся рассматривается как важный этап педагогического процесса. Она призвана установить степень достижения целей обучения.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 xml:space="preserve">Рассмотрим более подробно три ключевых компетенции входящих в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компетентностную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модель выпускника школы второй и третьей ступени обучения: коммуникативная, информационная, учебно-познавательная компетенция. На основе анализа литературы дадим характеристику каждой из компетенций.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E3282">
        <w:rPr>
          <w:rFonts w:eastAsia="Times New Roman" w:cs="Times New Roman"/>
          <w:b/>
          <w:sz w:val="28"/>
          <w:szCs w:val="28"/>
          <w:lang w:eastAsia="ru-RU"/>
        </w:rPr>
        <w:t>Коммуникативная компетенци</w:t>
      </w:r>
      <w:r w:rsidRPr="00CE3282">
        <w:rPr>
          <w:rFonts w:eastAsia="Times New Roman" w:cs="Times New Roman"/>
          <w:sz w:val="28"/>
          <w:szCs w:val="28"/>
          <w:lang w:eastAsia="ru-RU"/>
        </w:rPr>
        <w:t>я подразумевает владение учеником средствами коммуникации: владение устной (монолог, диалог, умение задавать вопросы, защищать свою точку зрения, дискуссия, доклады, презентации, защита проектов, публичное выступление и др.), письменной (чтение, создание различного рода текстов, владение стилями и приемами оформления текста, умение работы с текстом и др.), и продуктивной коммуникации (умение работать в группе, владение различными социальными ролями в коллективе).</w:t>
      </w:r>
      <w:proofErr w:type="gram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Таким образом, коммуникативная компетенция это способность ставить и решать определенные типы коммуникативных задач. Иными словами коммуникативная компетенция — это способность к полноценному общению, знание необходимых языков, умение вступать в коммуникацию с целью быть понятым, умение выбора адекватных стратегий коммуникации и выполнение различных социальных ролей в коллективе.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sz w:val="28"/>
          <w:szCs w:val="28"/>
          <w:lang w:eastAsia="ru-RU"/>
        </w:rPr>
        <w:t>Информационная компетенция</w:t>
      </w:r>
      <w:r w:rsidRPr="00CE3282">
        <w:rPr>
          <w:rFonts w:eastAsia="Times New Roman" w:cs="Times New Roman"/>
          <w:sz w:val="28"/>
          <w:szCs w:val="28"/>
          <w:lang w:eastAsia="ru-RU"/>
        </w:rPr>
        <w:t xml:space="preserve"> обеспечивает навыки деятельности ученика с информацией при помощи реальных объектов (телевизор,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прин</w:t>
      </w:r>
      <w:proofErr w:type="gramStart"/>
      <w:r w:rsidRPr="00CE3282">
        <w:rPr>
          <w:rFonts w:eastAsia="Times New Roman" w:cs="Times New Roman"/>
          <w:sz w:val="28"/>
          <w:szCs w:val="28"/>
          <w:lang w:eastAsia="ru-RU"/>
        </w:rPr>
        <w:t>rep</w:t>
      </w:r>
      <w:proofErr w:type="spellEnd"/>
      <w:proofErr w:type="gramEnd"/>
      <w:r w:rsidRPr="00CE3282">
        <w:rPr>
          <w:rFonts w:eastAsia="Times New Roman" w:cs="Times New Roman"/>
          <w:sz w:val="28"/>
          <w:szCs w:val="28"/>
          <w:lang w:eastAsia="ru-RU"/>
        </w:rPr>
        <w:t>, магнитофон, компьютер, книга, журнал и др.) и информационных технологий (аудио-видео запись, электронная почта, СМИ, Интернет и др.). Формируются умения самостоятельно искать, анализировать и отбирать необходимую информацию, преобразовывать, сохранять, передавать и критически осмысливать ее. Таким образом, информационная компетенция это, по сути, способность учащихся работать со всеми источниками информации адекватных задачам, при помощи информационных технологий самостоятельно искать, анализировать, отбирать, обрабатывать и передавать информацию. Главное умение при информационной компетенции — это работа с информацией. В этой связи от ученика требуется способность к эффективному освоению и использованию постоянно развивающихся информационно-технологических технологий.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sz w:val="28"/>
          <w:szCs w:val="28"/>
          <w:lang w:eastAsia="ru-RU"/>
        </w:rPr>
        <w:t>Учебно-познавательная компетенция</w:t>
      </w:r>
      <w:r w:rsidRPr="00CE3282">
        <w:rPr>
          <w:rFonts w:eastAsia="Times New Roman" w:cs="Times New Roman"/>
          <w:sz w:val="28"/>
          <w:szCs w:val="28"/>
          <w:lang w:eastAsia="ru-RU"/>
        </w:rPr>
        <w:t xml:space="preserve">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общеучебной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</w:t>
      </w:r>
      <w:r w:rsidRPr="00CE3282">
        <w:rPr>
          <w:rFonts w:eastAsia="Times New Roman" w:cs="Times New Roman"/>
          <w:sz w:val="28"/>
          <w:szCs w:val="28"/>
          <w:lang w:eastAsia="ru-RU"/>
        </w:rPr>
        <w:lastRenderedPageBreak/>
        <w:t>учащийся овладевает креативными навыками продуктивной деятельности: добыванием знаний непосредственно из реальности; владением приемами действий в нестандартных ситуациях; эвристическими методами решения проблем. Учебно-познавательная компетенция представляет собой совокупность учебных ситуаций, в которых ученик выступает как субъект и объект процесса обучения одновременно, т.е. в данном случае речь идет о самообучении.</w:t>
      </w:r>
    </w:p>
    <w:p w:rsid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>Под учебно-познавательной компетенцией понимаем способность учащегося приобретать новые знания для решения учебных задач на основе использования методов познания конкретных предметов.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</w:t>
      </w:r>
      <w:r w:rsidRPr="00CE3282">
        <w:rPr>
          <w:rFonts w:eastAsia="Times New Roman" w:cs="Times New Roman"/>
          <w:sz w:val="28"/>
          <w:szCs w:val="28"/>
          <w:lang w:eastAsia="ru-RU"/>
        </w:rPr>
        <w:t>нтральным моментом в ор</w:t>
      </w:r>
      <w:r>
        <w:rPr>
          <w:rFonts w:eastAsia="Times New Roman" w:cs="Times New Roman"/>
          <w:sz w:val="28"/>
          <w:szCs w:val="28"/>
          <w:lang w:eastAsia="ru-RU"/>
        </w:rPr>
        <w:t xml:space="preserve">ганизации обучения в духе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3282">
        <w:rPr>
          <w:rFonts w:eastAsia="Times New Roman" w:cs="Times New Roman"/>
          <w:sz w:val="28"/>
          <w:szCs w:val="28"/>
          <w:lang w:eastAsia="ru-RU"/>
        </w:rPr>
        <w:t>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 Таких форм в мировом опыте несколько. Это различные формы открытого, проектного и проблемно-ориентированного обучения. Общий знаменатель всех форм обучения, направленных на развитие или формирование ключевых компетенций можно сформулировать так: это смещение акцента с односторонней активности учителя на самостоятельное учение, ответственность и активность самих учеников.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bCs/>
          <w:sz w:val="28"/>
          <w:szCs w:val="28"/>
          <w:lang w:eastAsia="ru-RU"/>
        </w:rPr>
        <w:t>Соотнесение аспектов ключевых компетенций и методов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"/>
        <w:gridCol w:w="2232"/>
        <w:gridCol w:w="6413"/>
      </w:tblGrid>
      <w:tr w:rsidR="00CE3282" w:rsidRPr="00CE3282" w:rsidTr="003F36DF">
        <w:trPr>
          <w:trHeight w:val="6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 формирования</w:t>
            </w:r>
          </w:p>
        </w:tc>
      </w:tr>
      <w:tr w:rsidR="00CE3282" w:rsidRPr="00CE3282" w:rsidTr="003F36DF">
        <w:trPr>
          <w:trHeight w:val="29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Дискуссия, дебаты, устная презентация, публичное выступление, защита проектов, рефератов, групповая форма работы, работа в паре, диалог, доклады и сообщения, ролевые и деловые игры, учебные исследования, обсуждения спорного вопроса, обмен мнениями, анализ текстов, обобщение информации, обсуждение, создание текста написание статей, сочинений, рецензирование работ других учащихся, метод Сократа и т.д.</w:t>
            </w:r>
            <w:proofErr w:type="gramEnd"/>
          </w:p>
        </w:tc>
      </w:tr>
      <w:tr w:rsidR="00CE3282" w:rsidRPr="00CE3282" w:rsidTr="003F36DF">
        <w:trPr>
          <w:trHeight w:val="6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Работа с учебником, справочной литературой и в сети Интернет, наблюдение, создание </w:t>
            </w:r>
            <w:proofErr w:type="spell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-сайтов и т.д.</w:t>
            </w:r>
          </w:p>
        </w:tc>
      </w:tr>
      <w:tr w:rsidR="00CE3282" w:rsidRPr="00CE3282" w:rsidTr="003F36DF">
        <w:trPr>
          <w:trHeight w:val="37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Метод эвристических вопросов, метод сравнения, метод эвристических наблюдений, метод гипотез, метод конструирования правил. </w:t>
            </w:r>
            <w:proofErr w:type="gram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Презентация продукта деятельности, увеличение доли самостоятельной работы учащихся (реферирование, проектирование, исследование), выполнение тестов, написание рефератов, исследовательская деятельность, деловые игры, проблемные ситуации, выполнение проектов, обращение к опыту учащихся, дискуссия, экспериментальная деятельность, социальное проектирование, открытая познавательная позиция и т.д.</w:t>
            </w:r>
            <w:proofErr w:type="gramEnd"/>
          </w:p>
        </w:tc>
      </w:tr>
    </w:tbl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 xml:space="preserve">При выборе методов обучения для реализации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модели, особое внимание необходимо уделить тем методам, которые способствуют включению обучающихся в активную деятельность, развитию инициативы, ответственности и способствовать развитию критического мышления.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bCs/>
          <w:sz w:val="28"/>
          <w:szCs w:val="28"/>
          <w:lang w:eastAsia="ru-RU"/>
        </w:rPr>
        <w:t>Соотнесение аспектов ключевых компетенций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bCs/>
          <w:sz w:val="28"/>
          <w:szCs w:val="28"/>
          <w:lang w:eastAsia="ru-RU"/>
        </w:rPr>
        <w:t>и приемов формирования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0"/>
        <w:gridCol w:w="2403"/>
        <w:gridCol w:w="6202"/>
      </w:tblGrid>
      <w:tr w:rsidR="00CE3282" w:rsidRPr="00CE3282" w:rsidTr="003F36DF">
        <w:trPr>
          <w:trHeight w:val="6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Прием формирования</w:t>
            </w:r>
          </w:p>
        </w:tc>
      </w:tr>
      <w:tr w:rsidR="00CE3282" w:rsidRPr="00CE3282" w:rsidTr="003F36DF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Мозговой штурм, </w:t>
            </w:r>
            <w:proofErr w:type="spell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, пятиминутное эссе, театрализация, займи позицию, точка зрения и т.д.</w:t>
            </w:r>
          </w:p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3282" w:rsidRPr="00CE3282" w:rsidTr="003F36DF">
        <w:trPr>
          <w:trHeight w:val="9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кроссвордов, кластеров,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концептуальных таблиц, тестовых заданий, эссе,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сочинений и т.д.</w:t>
            </w:r>
          </w:p>
        </w:tc>
      </w:tr>
      <w:tr w:rsidR="00CE3282" w:rsidRPr="00CE3282" w:rsidTr="003F36DF">
        <w:trPr>
          <w:trHeight w:val="22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Отсроченная отгадка, лови ошибку, толстые и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тонкие вопросы, ключевые слова, мозговой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штурм, открытое обсуждение новых понятий,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написание граф-схем, опорных конспектов,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создание опорных схем-моделей, кластеров,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концептуальных таблиц и т.д.</w:t>
            </w:r>
            <w:proofErr w:type="gramEnd"/>
          </w:p>
        </w:tc>
      </w:tr>
    </w:tbl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-ориентированном подходе результативность учебного занятия определяется продуктом, результатом активной деятельности учащихся по освоению компетенций и личностных качеств. Поэтому задача учителя заключается в организации активной деятельности учащихся по поиску, усвоению и переработке информации. Необходимым условием эффективности обучения в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подходе является личное включение ученика в активную деятельность. Задача учителя продумать и организовать активную работу учащихся, обеспечить необходимые условия средствами. Без самостоятельной, осознанной, мотивированной деятельности учащихся не может быть процесса усвоения, урок просто превращается в процесс информирования. От того, насколько четко учитель </w:t>
      </w:r>
      <w:proofErr w:type="gramStart"/>
      <w:r w:rsidRPr="00CE3282">
        <w:rPr>
          <w:rFonts w:eastAsia="Times New Roman" w:cs="Times New Roman"/>
          <w:sz w:val="28"/>
          <w:szCs w:val="28"/>
          <w:lang w:eastAsia="ru-RU"/>
        </w:rPr>
        <w:t>определит какие компетентности</w:t>
      </w:r>
      <w:proofErr w:type="gram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будут формироваться при изучении дисциплины, темы, зависят цели конкретного урока, организация всей учебной деятельности.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bCs/>
          <w:sz w:val="28"/>
          <w:szCs w:val="28"/>
          <w:lang w:eastAsia="ru-RU"/>
        </w:rPr>
        <w:t>Соотнесение аспектов ключевых компетенций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b/>
          <w:bCs/>
          <w:sz w:val="28"/>
          <w:szCs w:val="28"/>
          <w:lang w:eastAsia="ru-RU"/>
        </w:rPr>
        <w:t>и современных образовательных технологий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0"/>
        <w:gridCol w:w="2403"/>
        <w:gridCol w:w="6202"/>
      </w:tblGrid>
      <w:tr w:rsidR="00CE3282" w:rsidRPr="00CE3282" w:rsidTr="003F36DF">
        <w:trPr>
          <w:trHeight w:val="6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Прием формирования</w:t>
            </w:r>
          </w:p>
        </w:tc>
      </w:tr>
      <w:tr w:rsidR="00CE3282" w:rsidRPr="00CE3282" w:rsidTr="003F36DF">
        <w:trPr>
          <w:trHeight w:val="13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Технология РКМ, технология игровых методов обучения, технология дебаты, дискуссия, метод проектов, проблемного обучения, обучения в сотрудничестве, портфолио и т.д.</w:t>
            </w:r>
          </w:p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3282" w:rsidRPr="00CE3282" w:rsidTr="003F36DF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ИКТ, технология РКМ, технология модульного обучения, метод проектов, исследовательские методы обучения, и т.д.</w:t>
            </w:r>
          </w:p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3282" w:rsidRPr="00CE3282" w:rsidTr="003F36DF">
        <w:trPr>
          <w:trHeight w:val="15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3282" w:rsidRPr="00CE3282" w:rsidRDefault="00CE3282" w:rsidP="00CE3282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Метод проектов, кейс-</w:t>
            </w:r>
            <w:proofErr w:type="spellStart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стади</w:t>
            </w:r>
            <w:proofErr w:type="spellEnd"/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t>, модульная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технология, технология РКМ, исследовательские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методы обучения, технология проблемного</w:t>
            </w:r>
            <w:r w:rsidRPr="00CE328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обучения, портфолио и т.д.</w:t>
            </w:r>
          </w:p>
        </w:tc>
      </w:tr>
    </w:tbl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3282">
        <w:rPr>
          <w:rFonts w:eastAsia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CE3282" w:rsidRPr="00CE3282" w:rsidRDefault="00CE3282" w:rsidP="00CE3282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282" w:rsidRPr="00CE3282" w:rsidRDefault="00CE3282" w:rsidP="00CE3282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 xml:space="preserve">Пашкевич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А.В.Создание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 системы оценивания ключевых компетенций учащихся массовой школы: Монография</w:t>
      </w:r>
      <w:proofErr w:type="gramStart"/>
      <w:r w:rsidRPr="00CE3282">
        <w:rPr>
          <w:rFonts w:eastAsia="Times New Roman" w:cs="Times New Roman"/>
          <w:sz w:val="28"/>
          <w:szCs w:val="28"/>
          <w:lang w:eastAsia="ru-RU"/>
        </w:rPr>
        <w:t>.-</w:t>
      </w:r>
      <w:proofErr w:type="gramEnd"/>
      <w:r w:rsidRPr="00CE3282">
        <w:rPr>
          <w:rFonts w:eastAsia="Times New Roman" w:cs="Times New Roman"/>
          <w:sz w:val="28"/>
          <w:szCs w:val="28"/>
          <w:lang w:eastAsia="ru-RU"/>
        </w:rPr>
        <w:t>М.: РИОРИНФРА-М, 2013;</w:t>
      </w:r>
    </w:p>
    <w:p w:rsidR="00CE3282" w:rsidRPr="00CE3282" w:rsidRDefault="00CE3282" w:rsidP="00CE3282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Дебердеева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>, Т. Х. Инновации в образовании. - 2005. - № 3. – с. 79.</w:t>
      </w:r>
    </w:p>
    <w:p w:rsidR="00CE3282" w:rsidRPr="00CE3282" w:rsidRDefault="00CE3282" w:rsidP="00CE3282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3282">
        <w:rPr>
          <w:rFonts w:eastAsia="Times New Roman" w:cs="Times New Roman"/>
          <w:sz w:val="28"/>
          <w:szCs w:val="28"/>
          <w:lang w:eastAsia="ru-RU"/>
        </w:rPr>
        <w:t xml:space="preserve">Клименко Т.К. Инновационное образование как фактор становления будущего учителя.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Автореф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282">
        <w:rPr>
          <w:rFonts w:eastAsia="Times New Roman" w:cs="Times New Roman"/>
          <w:sz w:val="28"/>
          <w:szCs w:val="28"/>
          <w:lang w:eastAsia="ru-RU"/>
        </w:rPr>
        <w:t>Дис</w:t>
      </w:r>
      <w:proofErr w:type="spellEnd"/>
      <w:r w:rsidRPr="00CE3282">
        <w:rPr>
          <w:rFonts w:eastAsia="Times New Roman" w:cs="Times New Roman"/>
          <w:sz w:val="28"/>
          <w:szCs w:val="28"/>
          <w:lang w:eastAsia="ru-RU"/>
        </w:rPr>
        <w:t>. Хабаровск, 2000. – 289с.</w:t>
      </w:r>
    </w:p>
    <w:p w:rsidR="00CE3282" w:rsidRPr="00CE3282" w:rsidRDefault="00CE3282" w:rsidP="00CE3282">
      <w:pPr>
        <w:jc w:val="both"/>
        <w:rPr>
          <w:rFonts w:cs="Times New Roman"/>
          <w:sz w:val="28"/>
          <w:szCs w:val="28"/>
        </w:rPr>
      </w:pPr>
    </w:p>
    <w:p w:rsidR="00476299" w:rsidRPr="00CE3282" w:rsidRDefault="00476299" w:rsidP="00CE3282">
      <w:pPr>
        <w:jc w:val="both"/>
        <w:rPr>
          <w:rFonts w:cs="Times New Roman"/>
          <w:sz w:val="28"/>
          <w:szCs w:val="28"/>
        </w:rPr>
      </w:pPr>
    </w:p>
    <w:sectPr w:rsidR="00476299" w:rsidRPr="00CE3282" w:rsidSect="00BE3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2914"/>
    <w:multiLevelType w:val="multilevel"/>
    <w:tmpl w:val="207A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2"/>
    <w:rsid w:val="00476299"/>
    <w:rsid w:val="00BE3CB9"/>
    <w:rsid w:val="00C4477C"/>
    <w:rsid w:val="00C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2"/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2"/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2017-11-21T18:18:00Z</dcterms:created>
  <dcterms:modified xsi:type="dcterms:W3CDTF">2017-11-21T18:34:00Z</dcterms:modified>
</cp:coreProperties>
</file>